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7FE0D" w14:textId="34E8235E" w:rsidR="00402C23" w:rsidRPr="000B6EF7" w:rsidRDefault="004E6451" w:rsidP="006E0ECF">
      <w:pPr>
        <w:tabs>
          <w:tab w:val="left" w:pos="3943"/>
        </w:tabs>
        <w:ind w:left="915"/>
        <w:jc w:val="both"/>
        <w:rPr>
          <w:rFonts w:asciiTheme="minorHAnsi" w:hAnsiTheme="minorHAnsi" w:cstheme="minorHAnsi"/>
          <w:sz w:val="20"/>
        </w:rPr>
      </w:pPr>
      <w:r w:rsidRPr="000B6EF7">
        <w:rPr>
          <w:rFonts w:asciiTheme="minorHAnsi" w:hAnsiTheme="minorHAnsi" w:cstheme="minorHAnsi"/>
          <w:position w:val="11"/>
          <w:sz w:val="20"/>
        </w:rPr>
        <w:tab/>
      </w:r>
      <w:r w:rsidRPr="000B6EF7">
        <w:rPr>
          <w:rFonts w:asciiTheme="minorHAnsi" w:hAnsiTheme="minorHAnsi" w:cstheme="minorHAnsi"/>
          <w:position w:val="2"/>
          <w:sz w:val="20"/>
        </w:rPr>
        <w:tab/>
      </w:r>
    </w:p>
    <w:p w14:paraId="71FA087B" w14:textId="77777777" w:rsidR="00402C23" w:rsidRPr="000B6EF7" w:rsidRDefault="00402C23" w:rsidP="00E641EA">
      <w:pPr>
        <w:pStyle w:val="BodyText"/>
        <w:ind w:left="0"/>
        <w:jc w:val="both"/>
        <w:rPr>
          <w:rFonts w:asciiTheme="minorHAnsi" w:hAnsiTheme="minorHAnsi" w:cstheme="minorHAnsi"/>
          <w:sz w:val="20"/>
        </w:rPr>
      </w:pPr>
    </w:p>
    <w:p w14:paraId="2C543DBB" w14:textId="5D07FCF5" w:rsidR="00402C23" w:rsidRPr="000B6EF7" w:rsidRDefault="00023D47" w:rsidP="00B50F43">
      <w:pPr>
        <w:pStyle w:val="BodyText"/>
        <w:spacing w:before="90"/>
        <w:ind w:left="0"/>
        <w:jc w:val="both"/>
        <w:rPr>
          <w:rFonts w:asciiTheme="minorHAnsi" w:hAnsiTheme="minorHAnsi" w:cstheme="minorHAnsi"/>
        </w:rPr>
      </w:pPr>
      <w:r w:rsidRPr="000B6EF7">
        <w:rPr>
          <w:rFonts w:asciiTheme="minorHAnsi" w:hAnsiTheme="minorHAnsi" w:cstheme="minorHAnsi"/>
        </w:rPr>
        <w:t>June 9, 2021</w:t>
      </w:r>
    </w:p>
    <w:p w14:paraId="36D0E9D4" w14:textId="77777777" w:rsidR="00402C23" w:rsidRPr="000B6EF7" w:rsidRDefault="00402C23" w:rsidP="00B50F43">
      <w:pPr>
        <w:pStyle w:val="BodyText"/>
        <w:ind w:left="0"/>
        <w:jc w:val="both"/>
        <w:rPr>
          <w:rFonts w:asciiTheme="minorHAnsi" w:hAnsiTheme="minorHAnsi" w:cstheme="minorHAnsi"/>
          <w:sz w:val="26"/>
        </w:rPr>
      </w:pPr>
    </w:p>
    <w:p w14:paraId="09DBAB1D" w14:textId="77777777" w:rsidR="00023D47" w:rsidRPr="000B6EF7" w:rsidRDefault="00023D47" w:rsidP="00B50F43">
      <w:pPr>
        <w:pStyle w:val="BodyText"/>
        <w:ind w:left="0" w:right="7373"/>
        <w:rPr>
          <w:rFonts w:asciiTheme="minorHAnsi" w:hAnsiTheme="minorHAnsi" w:cstheme="minorHAnsi"/>
        </w:rPr>
      </w:pPr>
      <w:r w:rsidRPr="000B6EF7">
        <w:rPr>
          <w:rFonts w:asciiTheme="minorHAnsi" w:hAnsiTheme="minorHAnsi" w:cstheme="minorHAnsi"/>
        </w:rPr>
        <w:t>Brian Thompson</w:t>
      </w:r>
    </w:p>
    <w:p w14:paraId="4B4032A7" w14:textId="77777777" w:rsidR="00023D47" w:rsidRPr="000B6EF7" w:rsidRDefault="00023D47" w:rsidP="00B50F43">
      <w:pPr>
        <w:pStyle w:val="BodyText"/>
        <w:ind w:left="0" w:right="7090"/>
        <w:rPr>
          <w:rFonts w:asciiTheme="minorHAnsi" w:hAnsiTheme="minorHAnsi" w:cstheme="minorHAnsi"/>
        </w:rPr>
      </w:pPr>
      <w:r w:rsidRPr="000B6EF7">
        <w:rPr>
          <w:rFonts w:asciiTheme="minorHAnsi" w:hAnsiTheme="minorHAnsi" w:cstheme="minorHAnsi"/>
        </w:rPr>
        <w:t>Chief Executive Officer</w:t>
      </w:r>
    </w:p>
    <w:p w14:paraId="78E41691" w14:textId="77777777" w:rsidR="00023D47" w:rsidRPr="000B6EF7" w:rsidRDefault="00023D47" w:rsidP="00B50F43">
      <w:pPr>
        <w:pStyle w:val="BodyText"/>
        <w:ind w:left="0" w:right="7373"/>
        <w:rPr>
          <w:rFonts w:asciiTheme="minorHAnsi" w:hAnsiTheme="minorHAnsi" w:cstheme="minorHAnsi"/>
        </w:rPr>
      </w:pPr>
      <w:r w:rsidRPr="000B6EF7">
        <w:rPr>
          <w:rFonts w:asciiTheme="minorHAnsi" w:hAnsiTheme="minorHAnsi" w:cstheme="minorHAnsi"/>
        </w:rPr>
        <w:t>UnitedHealthcare</w:t>
      </w:r>
    </w:p>
    <w:p w14:paraId="6142BA13" w14:textId="77777777" w:rsidR="00023D47" w:rsidRPr="000B6EF7" w:rsidRDefault="00023D47" w:rsidP="00B50F43">
      <w:pPr>
        <w:pStyle w:val="BodyText"/>
        <w:ind w:left="0" w:right="7373"/>
        <w:rPr>
          <w:rFonts w:asciiTheme="minorHAnsi" w:hAnsiTheme="minorHAnsi" w:cstheme="minorHAnsi"/>
        </w:rPr>
      </w:pPr>
      <w:r w:rsidRPr="000B6EF7">
        <w:rPr>
          <w:rFonts w:asciiTheme="minorHAnsi" w:hAnsiTheme="minorHAnsi" w:cstheme="minorHAnsi"/>
        </w:rPr>
        <w:t>P.O. Box 1459</w:t>
      </w:r>
    </w:p>
    <w:p w14:paraId="6D690D21" w14:textId="77777777" w:rsidR="00023D47" w:rsidRPr="000B6EF7" w:rsidRDefault="00023D47" w:rsidP="00B50F43">
      <w:pPr>
        <w:pStyle w:val="BodyText"/>
        <w:ind w:left="0" w:right="6190"/>
        <w:rPr>
          <w:rFonts w:asciiTheme="minorHAnsi" w:hAnsiTheme="minorHAnsi" w:cstheme="minorHAnsi"/>
        </w:rPr>
      </w:pPr>
      <w:r w:rsidRPr="000B6EF7">
        <w:rPr>
          <w:rFonts w:asciiTheme="minorHAnsi" w:hAnsiTheme="minorHAnsi" w:cstheme="minorHAnsi"/>
        </w:rPr>
        <w:t>Minneapolis, MN 55440-1459</w:t>
      </w:r>
    </w:p>
    <w:p w14:paraId="3ED95F2E" w14:textId="77777777" w:rsidR="00023D47" w:rsidRPr="000B6EF7" w:rsidRDefault="00023D47" w:rsidP="00B50F43">
      <w:pPr>
        <w:pStyle w:val="BodyText"/>
        <w:ind w:left="0" w:right="7377"/>
        <w:jc w:val="both"/>
        <w:rPr>
          <w:rFonts w:asciiTheme="minorHAnsi" w:hAnsiTheme="minorHAnsi" w:cstheme="minorHAnsi"/>
        </w:rPr>
      </w:pPr>
    </w:p>
    <w:p w14:paraId="0EEC8BF4" w14:textId="4490DFC8" w:rsidR="00402C23" w:rsidRPr="000B6EF7" w:rsidRDefault="004E6451" w:rsidP="006E0ECF">
      <w:pPr>
        <w:pStyle w:val="BodyText"/>
        <w:tabs>
          <w:tab w:val="left" w:pos="2847"/>
        </w:tabs>
        <w:ind w:left="0" w:right="7377"/>
        <w:jc w:val="both"/>
        <w:rPr>
          <w:rFonts w:asciiTheme="minorHAnsi" w:hAnsiTheme="minorHAnsi" w:cstheme="minorHAnsi"/>
        </w:rPr>
      </w:pPr>
      <w:r w:rsidRPr="000B6EF7">
        <w:rPr>
          <w:rFonts w:asciiTheme="minorHAnsi" w:hAnsiTheme="minorHAnsi" w:cstheme="minorHAnsi"/>
        </w:rPr>
        <w:t xml:space="preserve">Dear </w:t>
      </w:r>
      <w:r w:rsidR="00023D47" w:rsidRPr="000B6EF7">
        <w:rPr>
          <w:rFonts w:asciiTheme="minorHAnsi" w:hAnsiTheme="minorHAnsi" w:cstheme="minorHAnsi"/>
        </w:rPr>
        <w:t>Mr. Thompson</w:t>
      </w:r>
      <w:r w:rsidRPr="000B6EF7">
        <w:rPr>
          <w:rFonts w:asciiTheme="minorHAnsi" w:hAnsiTheme="minorHAnsi" w:cstheme="minorHAnsi"/>
        </w:rPr>
        <w:t>:</w:t>
      </w:r>
    </w:p>
    <w:p w14:paraId="3C54D3B4" w14:textId="77777777" w:rsidR="00023D47" w:rsidRPr="000B6EF7" w:rsidRDefault="00023D47" w:rsidP="006E0ECF">
      <w:pPr>
        <w:pStyle w:val="BodyText"/>
        <w:tabs>
          <w:tab w:val="left" w:pos="2847"/>
        </w:tabs>
        <w:ind w:left="0" w:right="357"/>
        <w:jc w:val="both"/>
        <w:rPr>
          <w:rFonts w:asciiTheme="minorHAnsi" w:hAnsiTheme="minorHAnsi" w:cstheme="minorHAnsi"/>
        </w:rPr>
      </w:pPr>
    </w:p>
    <w:p w14:paraId="23C1C3CB" w14:textId="30E182F2" w:rsidR="00402C23" w:rsidRPr="000B6EF7" w:rsidRDefault="00023D47" w:rsidP="00FC66C5">
      <w:pPr>
        <w:pStyle w:val="BodyText"/>
        <w:tabs>
          <w:tab w:val="left" w:pos="2847"/>
        </w:tabs>
        <w:ind w:left="0" w:right="-36"/>
        <w:jc w:val="both"/>
        <w:rPr>
          <w:rFonts w:asciiTheme="minorHAnsi" w:hAnsiTheme="minorHAnsi" w:cstheme="minorHAnsi"/>
        </w:rPr>
      </w:pPr>
      <w:r w:rsidRPr="000B6EF7">
        <w:rPr>
          <w:rFonts w:asciiTheme="minorHAnsi" w:hAnsiTheme="minorHAnsi" w:cstheme="minorHAnsi"/>
        </w:rPr>
        <w:t>The undersigned organizations write to express deep concerns about UnitedHealthcare’s (UHC) recently announced policy to allow for the retroactive denial of coverage for emergency care</w:t>
      </w:r>
      <w:r w:rsidR="004E6451" w:rsidRPr="000B6EF7">
        <w:rPr>
          <w:rFonts w:asciiTheme="minorHAnsi" w:hAnsiTheme="minorHAnsi" w:cstheme="minorHAnsi"/>
        </w:rPr>
        <w:t xml:space="preserve">, </w:t>
      </w:r>
      <w:r w:rsidRPr="000B6EF7">
        <w:rPr>
          <w:rFonts w:asciiTheme="minorHAnsi" w:hAnsiTheme="minorHAnsi" w:cstheme="minorHAnsi"/>
        </w:rPr>
        <w:t>which will have serious medical consequences for</w:t>
      </w:r>
      <w:r w:rsidR="004E6451" w:rsidRPr="000B6EF7">
        <w:rPr>
          <w:rFonts w:asciiTheme="minorHAnsi" w:hAnsiTheme="minorHAnsi" w:cstheme="minorHAnsi"/>
          <w:spacing w:val="1"/>
        </w:rPr>
        <w:t xml:space="preserve"> </w:t>
      </w:r>
      <w:r w:rsidR="004E6451" w:rsidRPr="000B6EF7">
        <w:rPr>
          <w:rFonts w:asciiTheme="minorHAnsi" w:hAnsiTheme="minorHAnsi" w:cstheme="minorHAnsi"/>
        </w:rPr>
        <w:t>patients. We write to urge you to rescind these policies, and to express our belief that there is a</w:t>
      </w:r>
      <w:r w:rsidR="004E6451" w:rsidRPr="000B6EF7">
        <w:rPr>
          <w:rFonts w:asciiTheme="minorHAnsi" w:hAnsiTheme="minorHAnsi" w:cstheme="minorHAnsi"/>
          <w:spacing w:val="1"/>
        </w:rPr>
        <w:t xml:space="preserve"> </w:t>
      </w:r>
      <w:r w:rsidR="004E6451" w:rsidRPr="000B6EF7">
        <w:rPr>
          <w:rFonts w:asciiTheme="minorHAnsi" w:hAnsiTheme="minorHAnsi" w:cstheme="minorHAnsi"/>
        </w:rPr>
        <w:t>better way to ensure that patients access the right care, in the right place, at the right time. We</w:t>
      </w:r>
      <w:r w:rsidR="004E6451" w:rsidRPr="000B6EF7">
        <w:rPr>
          <w:rFonts w:asciiTheme="minorHAnsi" w:hAnsiTheme="minorHAnsi" w:cstheme="minorHAnsi"/>
          <w:spacing w:val="1"/>
        </w:rPr>
        <w:t xml:space="preserve"> </w:t>
      </w:r>
      <w:r w:rsidR="004E6451" w:rsidRPr="000B6EF7">
        <w:rPr>
          <w:rFonts w:asciiTheme="minorHAnsi" w:hAnsiTheme="minorHAnsi" w:cstheme="minorHAnsi"/>
        </w:rPr>
        <w:t>invite you to work together with us on</w:t>
      </w:r>
      <w:r w:rsidR="004E6451" w:rsidRPr="000B6EF7">
        <w:rPr>
          <w:rFonts w:asciiTheme="minorHAnsi" w:hAnsiTheme="minorHAnsi" w:cstheme="minorHAnsi"/>
          <w:spacing w:val="-1"/>
        </w:rPr>
        <w:t xml:space="preserve"> </w:t>
      </w:r>
      <w:r w:rsidR="004E6451" w:rsidRPr="000B6EF7">
        <w:rPr>
          <w:rFonts w:asciiTheme="minorHAnsi" w:hAnsiTheme="minorHAnsi" w:cstheme="minorHAnsi"/>
        </w:rPr>
        <w:t>these</w:t>
      </w:r>
      <w:r w:rsidR="004E6451" w:rsidRPr="000B6EF7">
        <w:rPr>
          <w:rFonts w:asciiTheme="minorHAnsi" w:hAnsiTheme="minorHAnsi" w:cstheme="minorHAnsi"/>
          <w:spacing w:val="-1"/>
        </w:rPr>
        <w:t xml:space="preserve"> </w:t>
      </w:r>
      <w:r w:rsidR="004E6451" w:rsidRPr="000B6EF7">
        <w:rPr>
          <w:rFonts w:asciiTheme="minorHAnsi" w:hAnsiTheme="minorHAnsi" w:cstheme="minorHAnsi"/>
        </w:rPr>
        <w:t>efforts.</w:t>
      </w:r>
    </w:p>
    <w:p w14:paraId="5B810668" w14:textId="77777777" w:rsidR="00402C23" w:rsidRPr="000B6EF7" w:rsidRDefault="00402C23" w:rsidP="00FC66C5">
      <w:pPr>
        <w:pStyle w:val="BodyText"/>
        <w:tabs>
          <w:tab w:val="left" w:pos="2847"/>
        </w:tabs>
        <w:ind w:left="0" w:right="-36"/>
        <w:jc w:val="both"/>
        <w:rPr>
          <w:rFonts w:asciiTheme="minorHAnsi" w:hAnsiTheme="minorHAnsi" w:cstheme="minorHAnsi"/>
        </w:rPr>
      </w:pPr>
    </w:p>
    <w:p w14:paraId="1F17357C" w14:textId="5211A70A" w:rsidR="00E641EA" w:rsidRPr="000B6EF7" w:rsidRDefault="009373FB" w:rsidP="00FC66C5">
      <w:pPr>
        <w:pStyle w:val="BodyText"/>
        <w:tabs>
          <w:tab w:val="left" w:pos="2847"/>
        </w:tabs>
        <w:ind w:left="0" w:right="-36"/>
        <w:jc w:val="both"/>
        <w:rPr>
          <w:rFonts w:asciiTheme="minorHAnsi" w:hAnsiTheme="minorHAnsi" w:cstheme="minorHAnsi"/>
        </w:rPr>
      </w:pPr>
      <w:r w:rsidRPr="000B6EF7">
        <w:rPr>
          <w:rFonts w:asciiTheme="minorHAnsi" w:hAnsiTheme="minorHAnsi" w:cstheme="minorHAnsi"/>
        </w:rPr>
        <w:t xml:space="preserve">Patients do not have the full set of knowledge and tools to assess the level of care they may need. In fact, most clinicians cannot make a diagnosis with confidence without the support of a wide range of tools and tests. </w:t>
      </w:r>
      <w:r w:rsidR="00E641EA" w:rsidRPr="000B6EF7">
        <w:rPr>
          <w:rFonts w:asciiTheme="minorHAnsi" w:hAnsiTheme="minorHAnsi" w:cstheme="minorHAnsi"/>
        </w:rPr>
        <w:t>A 2013 JAMA study</w:t>
      </w:r>
      <w:r w:rsidR="00E641EA" w:rsidRPr="000B6EF7">
        <w:rPr>
          <w:rStyle w:val="FootnoteReference"/>
          <w:rFonts w:asciiTheme="minorHAnsi" w:hAnsiTheme="minorHAnsi" w:cstheme="minorHAnsi"/>
        </w:rPr>
        <w:footnoteReference w:id="1"/>
      </w:r>
      <w:r w:rsidR="00E641EA" w:rsidRPr="000B6EF7">
        <w:rPr>
          <w:rFonts w:asciiTheme="minorHAnsi" w:hAnsiTheme="minorHAnsi" w:cstheme="minorHAnsi"/>
        </w:rPr>
        <w:t xml:space="preserve"> found that patients who receive a diagnosis of a low-acuity condition often present with initial complaints similar to patients with more serious conditions. Examining a dataset of over 34,900 unique</w:t>
      </w:r>
      <w:r w:rsidR="00B20051" w:rsidRPr="000B6EF7">
        <w:rPr>
          <w:rFonts w:asciiTheme="minorHAnsi" w:hAnsiTheme="minorHAnsi" w:cstheme="minorHAnsi"/>
        </w:rPr>
        <w:t xml:space="preserve"> emergency department (</w:t>
      </w:r>
      <w:r w:rsidR="00E641EA" w:rsidRPr="000B6EF7">
        <w:rPr>
          <w:rFonts w:asciiTheme="minorHAnsi" w:hAnsiTheme="minorHAnsi" w:cstheme="minorHAnsi"/>
        </w:rPr>
        <w:t>ED</w:t>
      </w:r>
      <w:r w:rsidR="00B20051" w:rsidRPr="000B6EF7">
        <w:rPr>
          <w:rFonts w:asciiTheme="minorHAnsi" w:hAnsiTheme="minorHAnsi" w:cstheme="minorHAnsi"/>
        </w:rPr>
        <w:t>)</w:t>
      </w:r>
      <w:r w:rsidR="00E641EA" w:rsidRPr="000B6EF7">
        <w:rPr>
          <w:rFonts w:asciiTheme="minorHAnsi" w:hAnsiTheme="minorHAnsi" w:cstheme="minorHAnsi"/>
        </w:rPr>
        <w:t xml:space="preserve"> visits found that 6.3% of visits were determined to have primary care–treatable diagnoses based on discharge diagnosis, yet the chief complaints reported for these ED visits were the same chief complaints reported for 88.7% of all ED visits. Of these visits, 11.1% were serious enough to be identified at ED triage as needing immediate emergency care, and 12.5% required hospital admission (with 3.4% of these going directly from the ED to the operating room).</w:t>
      </w:r>
    </w:p>
    <w:p w14:paraId="34619EFE" w14:textId="3A3AA021" w:rsidR="00E641EA" w:rsidRPr="000B6EF7" w:rsidRDefault="00E641EA" w:rsidP="00FC66C5">
      <w:pPr>
        <w:pStyle w:val="BodyText"/>
        <w:tabs>
          <w:tab w:val="left" w:pos="2847"/>
        </w:tabs>
        <w:ind w:left="0" w:right="-36"/>
        <w:jc w:val="both"/>
        <w:rPr>
          <w:rFonts w:asciiTheme="minorHAnsi" w:hAnsiTheme="minorHAnsi" w:cstheme="minorHAnsi"/>
        </w:rPr>
      </w:pPr>
    </w:p>
    <w:p w14:paraId="4148D39E" w14:textId="274CB3B4" w:rsidR="00E641EA" w:rsidRPr="000B6EF7" w:rsidRDefault="00E641EA" w:rsidP="00FC66C5">
      <w:pPr>
        <w:pStyle w:val="BodyText"/>
        <w:tabs>
          <w:tab w:val="left" w:pos="2847"/>
        </w:tabs>
        <w:ind w:left="0" w:right="-36"/>
        <w:jc w:val="both"/>
        <w:rPr>
          <w:rFonts w:asciiTheme="minorHAnsi" w:hAnsiTheme="minorHAnsi" w:cstheme="minorHAnsi"/>
        </w:rPr>
      </w:pPr>
      <w:r w:rsidRPr="000B6EF7">
        <w:rPr>
          <w:rFonts w:asciiTheme="minorHAnsi" w:hAnsiTheme="minorHAnsi" w:cstheme="minorHAnsi"/>
        </w:rPr>
        <w:t>Even before the COVID-19 pandemic, the need for access to mental health care and substance use services was reaching crisis levels. In 2019, less than half of adults with mental health conditions received services</w:t>
      </w:r>
      <w:r w:rsidR="003622C3" w:rsidRPr="000B6EF7">
        <w:rPr>
          <w:rStyle w:val="FootnoteReference"/>
          <w:rFonts w:asciiTheme="minorHAnsi" w:hAnsiTheme="minorHAnsi" w:cstheme="minorHAnsi"/>
        </w:rPr>
        <w:footnoteReference w:id="2"/>
      </w:r>
      <w:r w:rsidRPr="000B6EF7">
        <w:rPr>
          <w:rFonts w:asciiTheme="minorHAnsi" w:hAnsiTheme="minorHAnsi" w:cstheme="minorHAnsi"/>
        </w:rPr>
        <w:t>, and nearly 90% of those with a substance use disorder did not receive treatment</w:t>
      </w:r>
      <w:r w:rsidR="000B6EF7">
        <w:rPr>
          <w:rFonts w:asciiTheme="minorHAnsi" w:hAnsiTheme="minorHAnsi" w:cstheme="minorHAnsi"/>
        </w:rPr>
        <w:t>.</w:t>
      </w:r>
      <w:r w:rsidR="003622C3" w:rsidRPr="000B6EF7">
        <w:rPr>
          <w:rStyle w:val="FootnoteReference"/>
          <w:rFonts w:asciiTheme="minorHAnsi" w:hAnsiTheme="minorHAnsi" w:cstheme="minorHAnsi"/>
        </w:rPr>
        <w:footnoteReference w:id="3"/>
      </w:r>
      <w:r w:rsidR="000B6EF7">
        <w:rPr>
          <w:rFonts w:asciiTheme="minorHAnsi" w:hAnsiTheme="minorHAnsi" w:cstheme="minorHAnsi"/>
        </w:rPr>
        <w:t xml:space="preserve"> </w:t>
      </w:r>
      <w:r w:rsidR="00B20051" w:rsidRPr="000B6EF7">
        <w:rPr>
          <w:rFonts w:asciiTheme="minorHAnsi" w:hAnsiTheme="minorHAnsi" w:cstheme="minorHAnsi"/>
        </w:rPr>
        <w:t>EDs</w:t>
      </w:r>
      <w:r w:rsidR="003622C3" w:rsidRPr="000B6EF7">
        <w:rPr>
          <w:rFonts w:asciiTheme="minorHAnsi" w:hAnsiTheme="minorHAnsi" w:cstheme="minorHAnsi"/>
        </w:rPr>
        <w:t xml:space="preserve"> around the country often serve as the only safety net for a fragmented mental health </w:t>
      </w:r>
      <w:r w:rsidR="00CF7851" w:rsidRPr="000B6EF7">
        <w:rPr>
          <w:rFonts w:asciiTheme="minorHAnsi" w:hAnsiTheme="minorHAnsi" w:cstheme="minorHAnsi"/>
        </w:rPr>
        <w:t>infrastructure</w:t>
      </w:r>
      <w:r w:rsidR="003622C3" w:rsidRPr="000B6EF7">
        <w:rPr>
          <w:rFonts w:asciiTheme="minorHAnsi" w:hAnsiTheme="minorHAnsi" w:cstheme="minorHAnsi"/>
        </w:rPr>
        <w:t xml:space="preserve">. </w:t>
      </w:r>
      <w:r w:rsidR="00CF7851" w:rsidRPr="000B6EF7">
        <w:rPr>
          <w:rFonts w:asciiTheme="minorHAnsi" w:hAnsiTheme="minorHAnsi" w:cstheme="minorHAnsi"/>
        </w:rPr>
        <w:t xml:space="preserve">For those in crisis </w:t>
      </w:r>
      <w:r w:rsidR="00AF6586" w:rsidRPr="000B6EF7">
        <w:rPr>
          <w:rFonts w:asciiTheme="minorHAnsi" w:hAnsiTheme="minorHAnsi" w:cstheme="minorHAnsi"/>
        </w:rPr>
        <w:t>for whom the</w:t>
      </w:r>
      <w:r w:rsidR="00CF7851" w:rsidRPr="000B6EF7">
        <w:rPr>
          <w:rFonts w:asciiTheme="minorHAnsi" w:hAnsiTheme="minorHAnsi" w:cstheme="minorHAnsi"/>
        </w:rPr>
        <w:t xml:space="preserve"> </w:t>
      </w:r>
      <w:r w:rsidR="00B20051" w:rsidRPr="000B6EF7">
        <w:rPr>
          <w:rFonts w:asciiTheme="minorHAnsi" w:hAnsiTheme="minorHAnsi" w:cstheme="minorHAnsi"/>
        </w:rPr>
        <w:t>ED</w:t>
      </w:r>
      <w:r w:rsidR="00CF7851" w:rsidRPr="000B6EF7">
        <w:rPr>
          <w:rFonts w:asciiTheme="minorHAnsi" w:hAnsiTheme="minorHAnsi" w:cstheme="minorHAnsi"/>
        </w:rPr>
        <w:t xml:space="preserve"> </w:t>
      </w:r>
      <w:r w:rsidR="00AF6586" w:rsidRPr="000B6EF7">
        <w:rPr>
          <w:rFonts w:asciiTheme="minorHAnsi" w:hAnsiTheme="minorHAnsi" w:cstheme="minorHAnsi"/>
        </w:rPr>
        <w:t>is</w:t>
      </w:r>
      <w:r w:rsidR="00CF7851" w:rsidRPr="000B6EF7">
        <w:rPr>
          <w:rFonts w:asciiTheme="minorHAnsi" w:hAnsiTheme="minorHAnsi" w:cstheme="minorHAnsi"/>
        </w:rPr>
        <w:t xml:space="preserve"> a lifeline for care, an added threat of a retroactive denial of coverage under this policy can be devastating.</w:t>
      </w:r>
    </w:p>
    <w:p w14:paraId="580318B1" w14:textId="77777777" w:rsidR="00E641EA" w:rsidRPr="000B6EF7" w:rsidRDefault="00E641EA" w:rsidP="00FC66C5">
      <w:pPr>
        <w:pStyle w:val="BodyText"/>
        <w:tabs>
          <w:tab w:val="left" w:pos="2847"/>
        </w:tabs>
        <w:ind w:left="0" w:right="-36"/>
        <w:jc w:val="both"/>
        <w:rPr>
          <w:rFonts w:asciiTheme="minorHAnsi" w:hAnsiTheme="minorHAnsi" w:cstheme="minorHAnsi"/>
        </w:rPr>
      </w:pPr>
    </w:p>
    <w:p w14:paraId="005ABC61" w14:textId="365373A8" w:rsidR="00AF6586" w:rsidRPr="000B6EF7" w:rsidRDefault="00AF6586" w:rsidP="00FC66C5">
      <w:pPr>
        <w:pStyle w:val="BodyText"/>
        <w:tabs>
          <w:tab w:val="left" w:pos="2847"/>
        </w:tabs>
        <w:ind w:left="0" w:right="-36"/>
        <w:jc w:val="both"/>
        <w:rPr>
          <w:rFonts w:asciiTheme="minorHAnsi" w:hAnsiTheme="minorHAnsi" w:cstheme="minorHAnsi"/>
        </w:rPr>
      </w:pPr>
      <w:r w:rsidRPr="000B6EF7">
        <w:rPr>
          <w:rFonts w:asciiTheme="minorHAnsi" w:hAnsiTheme="minorHAnsi" w:cstheme="minorHAnsi"/>
        </w:rPr>
        <w:t xml:space="preserve">In addition to shifting the responsibility for determining the difference between an emergent or non-emergent situation to the patient before any clinical evaluation, we believe the new coverage denial policy to be a violation of federal patient protection laws, specifically the “prudent layperson” </w:t>
      </w:r>
      <w:r w:rsidR="00B20051" w:rsidRPr="000B6EF7">
        <w:rPr>
          <w:rFonts w:asciiTheme="minorHAnsi" w:hAnsiTheme="minorHAnsi" w:cstheme="minorHAnsi"/>
        </w:rPr>
        <w:t xml:space="preserve">(PLP) </w:t>
      </w:r>
      <w:r w:rsidRPr="000B6EF7">
        <w:rPr>
          <w:rFonts w:asciiTheme="minorHAnsi" w:hAnsiTheme="minorHAnsi" w:cstheme="minorHAnsi"/>
        </w:rPr>
        <w:t>standard.</w:t>
      </w:r>
      <w:r w:rsidR="00B20051" w:rsidRPr="000B6EF7">
        <w:rPr>
          <w:rFonts w:asciiTheme="minorHAnsi" w:hAnsiTheme="minorHAnsi" w:cstheme="minorHAnsi"/>
        </w:rPr>
        <w:t xml:space="preserve"> This critical law allows people who reasonably think they are having an emergency to come to the ED without worrying about whether the services they receive will be covered by their insurance. Specifically, under the PLP, payors must cover any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health of the individual (or a pregnant woman or her unborn child) in serious </w:t>
      </w:r>
      <w:r w:rsidR="00B20051" w:rsidRPr="000B6EF7">
        <w:rPr>
          <w:rFonts w:asciiTheme="minorHAnsi" w:hAnsiTheme="minorHAnsi" w:cstheme="minorHAnsi"/>
        </w:rPr>
        <w:lastRenderedPageBreak/>
        <w:t>jeopardy; 2) serious impairment to bodily functions, or 3) serious dysfunction of any bodily organ or part.” Payors cannot deny reimbursement to providers based on the patient’s final diagnosis.</w:t>
      </w:r>
      <w:r w:rsidR="00B20051" w:rsidRPr="000B6EF7" w:rsidDel="00B20051">
        <w:rPr>
          <w:rFonts w:asciiTheme="minorHAnsi" w:hAnsiTheme="minorHAnsi" w:cstheme="minorHAnsi"/>
        </w:rPr>
        <w:t xml:space="preserve"> </w:t>
      </w:r>
    </w:p>
    <w:p w14:paraId="05DC5338" w14:textId="77777777" w:rsidR="00AF6586" w:rsidRPr="000B6EF7" w:rsidRDefault="00AF6586" w:rsidP="00FC66C5">
      <w:pPr>
        <w:pStyle w:val="BodyText"/>
        <w:tabs>
          <w:tab w:val="left" w:pos="2847"/>
        </w:tabs>
        <w:ind w:left="0" w:right="-36"/>
        <w:jc w:val="both"/>
        <w:rPr>
          <w:rFonts w:asciiTheme="minorHAnsi" w:hAnsiTheme="minorHAnsi" w:cstheme="minorHAnsi"/>
        </w:rPr>
      </w:pPr>
    </w:p>
    <w:p w14:paraId="201A8515" w14:textId="0F57FF37" w:rsidR="009E7246" w:rsidRPr="000B6EF7" w:rsidRDefault="009E5561" w:rsidP="00FC66C5">
      <w:pPr>
        <w:pStyle w:val="BodyText"/>
        <w:tabs>
          <w:tab w:val="left" w:pos="2847"/>
        </w:tabs>
        <w:ind w:left="0" w:right="-36"/>
        <w:jc w:val="both"/>
        <w:rPr>
          <w:rFonts w:asciiTheme="minorHAnsi" w:hAnsiTheme="minorHAnsi" w:cstheme="minorHAnsi"/>
        </w:rPr>
      </w:pPr>
      <w:r w:rsidRPr="000B6EF7">
        <w:rPr>
          <w:rFonts w:asciiTheme="minorHAnsi" w:hAnsiTheme="minorHAnsi" w:cstheme="minorHAnsi"/>
        </w:rPr>
        <w:t>Although the</w:t>
      </w:r>
      <w:r w:rsidR="00F0017B" w:rsidRPr="000B6EF7">
        <w:rPr>
          <w:rFonts w:asciiTheme="minorHAnsi" w:hAnsiTheme="minorHAnsi" w:cstheme="minorHAnsi"/>
        </w:rPr>
        <w:t xml:space="preserve"> new</w:t>
      </w:r>
      <w:r w:rsidRPr="000B6EF7">
        <w:rPr>
          <w:rFonts w:asciiTheme="minorHAnsi" w:hAnsiTheme="minorHAnsi" w:cstheme="minorHAnsi"/>
        </w:rPr>
        <w:t xml:space="preserve"> policy claims to take into account the PLP standard, it does so by including an attestation process after an initial claim is denied.  A policy of “deny first,” “attest later” is in itself a clear violation of the PLP standard and will undoubtedly harm patients. It</w:t>
      </w:r>
      <w:r w:rsidR="00E641EA" w:rsidRPr="000B6EF7">
        <w:rPr>
          <w:rFonts w:asciiTheme="minorHAnsi" w:hAnsiTheme="minorHAnsi" w:cstheme="minorHAnsi"/>
        </w:rPr>
        <w:t xml:space="preserve"> will have a chilling effect on patients’ decisions to seek care, whether for themselves or for a loved one. It will take hearing only a few stories of neighbors, friends, or co-workers who were unexpectedly left with paying an entire ED bill after coverage was denied by </w:t>
      </w:r>
      <w:r w:rsidR="00B70FE3" w:rsidRPr="000B6EF7">
        <w:rPr>
          <w:rFonts w:asciiTheme="minorHAnsi" w:hAnsiTheme="minorHAnsi" w:cstheme="minorHAnsi"/>
        </w:rPr>
        <w:t xml:space="preserve">UHC </w:t>
      </w:r>
      <w:r w:rsidR="00E641EA" w:rsidRPr="000B6EF7">
        <w:rPr>
          <w:rFonts w:asciiTheme="minorHAnsi" w:hAnsiTheme="minorHAnsi" w:cstheme="minorHAnsi"/>
        </w:rPr>
        <w:t>to make policy-holders think twice about seeking care in an emergency. Such hesitation could be life-threatening or result in even greater costs to the healthcare system down the road.</w:t>
      </w:r>
      <w:r w:rsidR="008D757B" w:rsidRPr="000B6EF7">
        <w:rPr>
          <w:rFonts w:asciiTheme="minorHAnsi" w:hAnsiTheme="minorHAnsi" w:cstheme="minorHAnsi"/>
        </w:rPr>
        <w:t xml:space="preserve"> </w:t>
      </w:r>
    </w:p>
    <w:p w14:paraId="4E7C3A70" w14:textId="77777777" w:rsidR="009E7246" w:rsidRPr="000B6EF7" w:rsidRDefault="009E7246" w:rsidP="00FC66C5">
      <w:pPr>
        <w:pStyle w:val="BodyText"/>
        <w:tabs>
          <w:tab w:val="left" w:pos="2847"/>
        </w:tabs>
        <w:ind w:left="0" w:right="-36"/>
        <w:jc w:val="both"/>
        <w:rPr>
          <w:rFonts w:asciiTheme="minorHAnsi" w:hAnsiTheme="minorHAnsi" w:cstheme="minorHAnsi"/>
        </w:rPr>
      </w:pPr>
    </w:p>
    <w:p w14:paraId="26D61C80" w14:textId="77777777" w:rsidR="00B20051" w:rsidRPr="000B6EF7" w:rsidRDefault="004E6451" w:rsidP="00FC66C5">
      <w:pPr>
        <w:pStyle w:val="BodyText"/>
        <w:tabs>
          <w:tab w:val="left" w:pos="2847"/>
        </w:tabs>
        <w:ind w:left="0" w:right="-36"/>
        <w:jc w:val="both"/>
        <w:rPr>
          <w:rFonts w:asciiTheme="minorHAnsi" w:hAnsiTheme="minorHAnsi" w:cstheme="minorHAnsi"/>
          <w:b/>
          <w:bCs/>
        </w:rPr>
      </w:pPr>
      <w:r w:rsidRPr="000B6EF7">
        <w:rPr>
          <w:rFonts w:asciiTheme="minorHAnsi" w:hAnsiTheme="minorHAnsi" w:cstheme="minorHAnsi"/>
          <w:b/>
          <w:bCs/>
        </w:rPr>
        <w:t>Only full rescission of the policy will</w:t>
      </w:r>
      <w:r w:rsidRPr="000B6EF7">
        <w:rPr>
          <w:rFonts w:asciiTheme="minorHAnsi" w:hAnsiTheme="minorHAnsi" w:cstheme="minorHAnsi"/>
          <w:b/>
          <w:bCs/>
          <w:spacing w:val="1"/>
        </w:rPr>
        <w:t xml:space="preserve"> </w:t>
      </w:r>
      <w:r w:rsidRPr="000B6EF7">
        <w:rPr>
          <w:rFonts w:asciiTheme="minorHAnsi" w:hAnsiTheme="minorHAnsi" w:cstheme="minorHAnsi"/>
          <w:b/>
          <w:bCs/>
        </w:rPr>
        <w:t>ensure</w:t>
      </w:r>
      <w:r w:rsidRPr="000B6EF7">
        <w:rPr>
          <w:rFonts w:asciiTheme="minorHAnsi" w:hAnsiTheme="minorHAnsi" w:cstheme="minorHAnsi"/>
          <w:b/>
          <w:bCs/>
          <w:spacing w:val="-3"/>
        </w:rPr>
        <w:t xml:space="preserve"> </w:t>
      </w:r>
      <w:r w:rsidRPr="000B6EF7">
        <w:rPr>
          <w:rFonts w:asciiTheme="minorHAnsi" w:hAnsiTheme="minorHAnsi" w:cstheme="minorHAnsi"/>
          <w:b/>
          <w:bCs/>
        </w:rPr>
        <w:t>the safety</w:t>
      </w:r>
      <w:r w:rsidRPr="000B6EF7">
        <w:rPr>
          <w:rFonts w:asciiTheme="minorHAnsi" w:hAnsiTheme="minorHAnsi" w:cstheme="minorHAnsi"/>
          <w:b/>
          <w:bCs/>
          <w:spacing w:val="-5"/>
        </w:rPr>
        <w:t xml:space="preserve"> </w:t>
      </w:r>
      <w:r w:rsidRPr="000B6EF7">
        <w:rPr>
          <w:rFonts w:asciiTheme="minorHAnsi" w:hAnsiTheme="minorHAnsi" w:cstheme="minorHAnsi"/>
          <w:b/>
          <w:bCs/>
        </w:rPr>
        <w:t>of our patients and</w:t>
      </w:r>
      <w:r w:rsidRPr="000B6EF7">
        <w:rPr>
          <w:rFonts w:asciiTheme="minorHAnsi" w:hAnsiTheme="minorHAnsi" w:cstheme="minorHAnsi"/>
          <w:b/>
          <w:bCs/>
          <w:spacing w:val="1"/>
        </w:rPr>
        <w:t xml:space="preserve"> </w:t>
      </w:r>
      <w:r w:rsidRPr="000B6EF7">
        <w:rPr>
          <w:rFonts w:asciiTheme="minorHAnsi" w:hAnsiTheme="minorHAnsi" w:cstheme="minorHAnsi"/>
          <w:b/>
          <w:bCs/>
        </w:rPr>
        <w:t>your enrollees</w:t>
      </w:r>
      <w:r w:rsidR="009E7246" w:rsidRPr="000B6EF7">
        <w:rPr>
          <w:rFonts w:asciiTheme="minorHAnsi" w:hAnsiTheme="minorHAnsi" w:cstheme="minorHAnsi"/>
          <w:b/>
          <w:bCs/>
        </w:rPr>
        <w:t>, and we urge you to take action</w:t>
      </w:r>
      <w:r w:rsidRPr="000B6EF7">
        <w:rPr>
          <w:rFonts w:asciiTheme="minorHAnsi" w:hAnsiTheme="minorHAnsi" w:cstheme="minorHAnsi"/>
          <w:b/>
          <w:bCs/>
        </w:rPr>
        <w:t>.</w:t>
      </w:r>
      <w:r w:rsidR="00A42DBE" w:rsidRPr="000B6EF7">
        <w:rPr>
          <w:rFonts w:asciiTheme="minorHAnsi" w:hAnsiTheme="minorHAnsi" w:cstheme="minorHAnsi"/>
          <w:b/>
          <w:bCs/>
        </w:rPr>
        <w:t xml:space="preserve"> </w:t>
      </w:r>
    </w:p>
    <w:p w14:paraId="2B08470A" w14:textId="77777777" w:rsidR="00B20051" w:rsidRPr="000B6EF7" w:rsidRDefault="00B20051" w:rsidP="00FC66C5">
      <w:pPr>
        <w:pStyle w:val="BodyText"/>
        <w:tabs>
          <w:tab w:val="left" w:pos="2847"/>
        </w:tabs>
        <w:ind w:left="0" w:right="-36"/>
        <w:jc w:val="both"/>
        <w:rPr>
          <w:rFonts w:asciiTheme="minorHAnsi" w:hAnsiTheme="minorHAnsi" w:cstheme="minorHAnsi"/>
        </w:rPr>
      </w:pPr>
    </w:p>
    <w:p w14:paraId="2D94834C" w14:textId="7F102FD7" w:rsidR="00402C23" w:rsidRPr="000B6EF7" w:rsidRDefault="00A42DBE" w:rsidP="00FC66C5">
      <w:pPr>
        <w:pStyle w:val="BodyText"/>
        <w:tabs>
          <w:tab w:val="left" w:pos="2847"/>
        </w:tabs>
        <w:ind w:left="0" w:right="-36"/>
        <w:jc w:val="both"/>
        <w:rPr>
          <w:rFonts w:asciiTheme="minorHAnsi" w:hAnsiTheme="minorHAnsi" w:cstheme="minorHAnsi"/>
        </w:rPr>
      </w:pPr>
      <w:r w:rsidRPr="000B6EF7">
        <w:rPr>
          <w:rFonts w:asciiTheme="minorHAnsi" w:hAnsiTheme="minorHAnsi" w:cstheme="minorHAnsi"/>
        </w:rPr>
        <w:t xml:space="preserve">Please contact Laura Wooster, MPH, ACEP Associate Executive Director of Public Affairs at </w:t>
      </w:r>
      <w:r w:rsidRPr="000B6EF7">
        <w:rPr>
          <w:rFonts w:asciiTheme="minorHAnsi" w:hAnsiTheme="minorHAnsi" w:cstheme="minorHAnsi"/>
          <w:color w:val="0000FF"/>
        </w:rPr>
        <w:t xml:space="preserve">lwooster@acep.org </w:t>
      </w:r>
      <w:r w:rsidRPr="000B6EF7">
        <w:rPr>
          <w:rFonts w:asciiTheme="minorHAnsi" w:hAnsiTheme="minorHAnsi" w:cstheme="minorHAnsi"/>
        </w:rPr>
        <w:t>or (202) 370-9298 with any questions.</w:t>
      </w:r>
    </w:p>
    <w:p w14:paraId="357DD0DA" w14:textId="77777777" w:rsidR="00402C23" w:rsidRPr="000B6EF7" w:rsidRDefault="00402C23" w:rsidP="00FC66C5">
      <w:pPr>
        <w:pStyle w:val="BodyText"/>
        <w:tabs>
          <w:tab w:val="left" w:pos="2847"/>
        </w:tabs>
        <w:ind w:left="0" w:right="-36"/>
        <w:jc w:val="both"/>
        <w:rPr>
          <w:rFonts w:asciiTheme="minorHAnsi" w:hAnsiTheme="minorHAnsi" w:cstheme="minorHAnsi"/>
        </w:rPr>
      </w:pPr>
    </w:p>
    <w:p w14:paraId="1016301E" w14:textId="7FDCB02F" w:rsidR="00402C23" w:rsidRPr="000B6EF7" w:rsidRDefault="008A1D1B" w:rsidP="00FC66C5">
      <w:pPr>
        <w:pStyle w:val="BodyText"/>
        <w:tabs>
          <w:tab w:val="left" w:pos="2847"/>
        </w:tabs>
        <w:spacing w:before="6"/>
        <w:ind w:left="0" w:right="-36"/>
        <w:jc w:val="both"/>
        <w:rPr>
          <w:rFonts w:asciiTheme="minorHAnsi" w:hAnsiTheme="minorHAnsi" w:cstheme="minorHAnsi"/>
        </w:rPr>
      </w:pPr>
      <w:r w:rsidRPr="000B6EF7">
        <w:rPr>
          <w:rFonts w:asciiTheme="minorHAnsi" w:hAnsiTheme="minorHAnsi" w:cstheme="minorHAnsi"/>
        </w:rPr>
        <w:t>Signed,</w:t>
      </w:r>
    </w:p>
    <w:p w14:paraId="505FF32F" w14:textId="79FA157D" w:rsidR="008A1D1B" w:rsidRPr="000B6EF7" w:rsidRDefault="008A1D1B" w:rsidP="006E0ECF">
      <w:pPr>
        <w:pStyle w:val="BodyText"/>
        <w:tabs>
          <w:tab w:val="left" w:pos="2847"/>
        </w:tabs>
        <w:spacing w:before="6"/>
        <w:ind w:left="0"/>
        <w:jc w:val="center"/>
        <w:rPr>
          <w:rFonts w:asciiTheme="minorHAnsi" w:hAnsiTheme="minorHAnsi" w:cstheme="minorHAnsi"/>
        </w:rPr>
      </w:pPr>
      <w:r w:rsidRPr="000B6EF7">
        <w:rPr>
          <w:rFonts w:asciiTheme="minorHAnsi" w:hAnsiTheme="minorHAnsi" w:cstheme="minorHAnsi"/>
        </w:rPr>
        <w:t>American College of Emergency Physicians</w:t>
      </w:r>
    </w:p>
    <w:p w14:paraId="40F24026" w14:textId="77777777" w:rsidR="008A1D1B" w:rsidRPr="000B6EF7" w:rsidRDefault="008A1D1B" w:rsidP="006E0ECF">
      <w:pPr>
        <w:pStyle w:val="BodyText"/>
        <w:tabs>
          <w:tab w:val="left" w:pos="2847"/>
        </w:tabs>
        <w:spacing w:before="6"/>
        <w:ind w:left="0"/>
        <w:jc w:val="center"/>
        <w:rPr>
          <w:rFonts w:asciiTheme="minorHAnsi" w:hAnsiTheme="minorHAnsi" w:cstheme="minorHAnsi"/>
        </w:rPr>
      </w:pPr>
    </w:p>
    <w:p w14:paraId="0A176156" w14:textId="53676749" w:rsidR="008A1D1B" w:rsidRPr="000B6EF7" w:rsidRDefault="008A1D1B" w:rsidP="006E0ECF">
      <w:pPr>
        <w:pStyle w:val="BodyText"/>
        <w:tabs>
          <w:tab w:val="left" w:pos="2847"/>
        </w:tabs>
        <w:spacing w:before="6"/>
        <w:ind w:left="0"/>
        <w:jc w:val="center"/>
        <w:rPr>
          <w:rFonts w:asciiTheme="minorHAnsi" w:hAnsiTheme="minorHAnsi" w:cstheme="minorHAnsi"/>
        </w:rPr>
      </w:pPr>
      <w:r w:rsidRPr="000B6EF7">
        <w:rPr>
          <w:rFonts w:asciiTheme="minorHAnsi" w:hAnsiTheme="minorHAnsi" w:cstheme="minorHAnsi"/>
        </w:rPr>
        <w:t>[other organizations who sign on]</w:t>
      </w:r>
    </w:p>
    <w:sectPr w:rsidR="008A1D1B" w:rsidRPr="000B6EF7" w:rsidSect="00B50F43">
      <w:type w:val="continuous"/>
      <w:pgSz w:w="12240" w:h="15840"/>
      <w:pgMar w:top="634" w:right="1008" w:bottom="274"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62729" w14:textId="77777777" w:rsidR="00780746" w:rsidRDefault="00780746" w:rsidP="00E641EA">
      <w:r>
        <w:separator/>
      </w:r>
    </w:p>
  </w:endnote>
  <w:endnote w:type="continuationSeparator" w:id="0">
    <w:p w14:paraId="1BB718C5" w14:textId="77777777" w:rsidR="00780746" w:rsidRDefault="00780746" w:rsidP="00E6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4C575" w14:textId="77777777" w:rsidR="00780746" w:rsidRDefault="00780746" w:rsidP="00E641EA">
      <w:r>
        <w:separator/>
      </w:r>
    </w:p>
  </w:footnote>
  <w:footnote w:type="continuationSeparator" w:id="0">
    <w:p w14:paraId="5D97FEF5" w14:textId="77777777" w:rsidR="00780746" w:rsidRDefault="00780746" w:rsidP="00E641EA">
      <w:r>
        <w:continuationSeparator/>
      </w:r>
    </w:p>
  </w:footnote>
  <w:footnote w:id="1">
    <w:p w14:paraId="113FBCE9" w14:textId="2B15F42A" w:rsidR="00E641EA" w:rsidRPr="00A42DBE" w:rsidRDefault="00E641EA" w:rsidP="00B50F43">
      <w:pPr>
        <w:pStyle w:val="Default"/>
        <w:ind w:left="180" w:hanging="180"/>
        <w:rPr>
          <w:rFonts w:ascii="Times New Roman" w:hAnsi="Times New Roman" w:cs="Times New Roman"/>
        </w:rPr>
      </w:pPr>
      <w:r w:rsidRPr="00A42DBE">
        <w:rPr>
          <w:rStyle w:val="FootnoteReference"/>
          <w:rFonts w:ascii="Times New Roman" w:hAnsi="Times New Roman" w:cs="Times New Roman"/>
          <w:sz w:val="20"/>
          <w:szCs w:val="20"/>
        </w:rPr>
        <w:footnoteRef/>
      </w:r>
      <w:r w:rsidRPr="00A42DBE">
        <w:rPr>
          <w:rFonts w:ascii="Times New Roman" w:hAnsi="Times New Roman" w:cs="Times New Roman"/>
        </w:rPr>
        <w:t xml:space="preserve"> </w:t>
      </w:r>
      <w:r w:rsidR="00A42DBE">
        <w:rPr>
          <w:rFonts w:ascii="Times New Roman" w:hAnsi="Times New Roman" w:cs="Times New Roman"/>
        </w:rPr>
        <w:t xml:space="preserve"> </w:t>
      </w:r>
      <w:r w:rsidRPr="00A42DBE">
        <w:rPr>
          <w:rFonts w:ascii="Times New Roman" w:hAnsi="Times New Roman" w:cs="Times New Roman"/>
          <w:sz w:val="20"/>
          <w:szCs w:val="20"/>
        </w:rPr>
        <w:t xml:space="preserve">Raven MC, Lowe RA, Maselli J, Hsia RY. Comparison of Presenting Complaint vs Discharge Diagnosis for Identifying “Nonemergency” Emergency Department Visits. JAMA. 2013;309(11):1145-1153. doi:10.1001/jama.2013.1948 </w:t>
      </w:r>
      <w:r w:rsidRPr="00A42DBE">
        <w:rPr>
          <w:rFonts w:ascii="Times New Roman" w:hAnsi="Times New Roman" w:cs="Times New Roman"/>
        </w:rPr>
        <w:t xml:space="preserve"> </w:t>
      </w:r>
    </w:p>
  </w:footnote>
  <w:footnote w:id="2">
    <w:p w14:paraId="395C85C1" w14:textId="0444AFA0" w:rsidR="003622C3" w:rsidRPr="00A42DBE" w:rsidRDefault="003622C3" w:rsidP="00B50F43">
      <w:pPr>
        <w:pStyle w:val="FootnoteText"/>
        <w:ind w:left="180" w:hanging="180"/>
      </w:pPr>
      <w:r w:rsidRPr="00A42DBE">
        <w:rPr>
          <w:rStyle w:val="FootnoteReference"/>
        </w:rPr>
        <w:footnoteRef/>
      </w:r>
      <w:r w:rsidRPr="00A42DBE">
        <w:t xml:space="preserve"> </w:t>
      </w:r>
      <w:r w:rsidR="00A42DBE">
        <w:t xml:space="preserve"> </w:t>
      </w:r>
      <w:r w:rsidRPr="00A42DBE">
        <w:t>Substance Abuse and Mental Health Services Administration, “Mental Health and Substance Use Disorders,” April, 30, 2020. Available at: https://www.samhsa.gov/findhelp/disorders.</w:t>
      </w:r>
    </w:p>
  </w:footnote>
  <w:footnote w:id="3">
    <w:p w14:paraId="70A44F2B" w14:textId="5A1241B9" w:rsidR="003622C3" w:rsidRDefault="003622C3" w:rsidP="00B50F43">
      <w:pPr>
        <w:pStyle w:val="FootnoteText"/>
        <w:ind w:left="180" w:hanging="180"/>
      </w:pPr>
      <w:r w:rsidRPr="00A42DBE">
        <w:rPr>
          <w:rStyle w:val="FootnoteReference"/>
        </w:rPr>
        <w:footnoteRef/>
      </w:r>
      <w:r w:rsidRPr="00A42DBE">
        <w:t xml:space="preserve"> </w:t>
      </w:r>
      <w:r w:rsidR="00A42DBE">
        <w:t xml:space="preserve"> </w:t>
      </w:r>
      <w:r w:rsidRPr="00A42DBE">
        <w:t xml:space="preserve">“The National Survey on Drug Use and Health: 2019,” PowerPoint presentation, September 2020. </w:t>
      </w:r>
      <w:r w:rsidR="00A42DBE">
        <w:br/>
      </w:r>
      <w:r w:rsidRPr="00A42DBE">
        <w:t>Available at: https://www.samhsa. gov/data/sites/default/files/reports/rpt29392/Assistant-Secretary-nsduh2019_ presentation/Assistant-Secretary-nsduh2019_presentation.pdf.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23"/>
    <w:rsid w:val="00023D47"/>
    <w:rsid w:val="000B6EF7"/>
    <w:rsid w:val="003622C3"/>
    <w:rsid w:val="00402C23"/>
    <w:rsid w:val="004E6451"/>
    <w:rsid w:val="006E0ECF"/>
    <w:rsid w:val="00780746"/>
    <w:rsid w:val="008A1D1B"/>
    <w:rsid w:val="008D757B"/>
    <w:rsid w:val="009373FB"/>
    <w:rsid w:val="009E5561"/>
    <w:rsid w:val="009E7246"/>
    <w:rsid w:val="00A42DBE"/>
    <w:rsid w:val="00AF6586"/>
    <w:rsid w:val="00B20051"/>
    <w:rsid w:val="00B50F43"/>
    <w:rsid w:val="00B70FE3"/>
    <w:rsid w:val="00CF7851"/>
    <w:rsid w:val="00E641EA"/>
    <w:rsid w:val="00F0017B"/>
    <w:rsid w:val="00FA0C27"/>
    <w:rsid w:val="00FC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01B2"/>
  <w15:docId w15:val="{5D100E57-9CE1-4206-A1C2-81AA827C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E641EA"/>
    <w:rPr>
      <w:sz w:val="20"/>
      <w:szCs w:val="20"/>
    </w:rPr>
  </w:style>
  <w:style w:type="character" w:customStyle="1" w:styleId="FootnoteTextChar">
    <w:name w:val="Footnote Text Char"/>
    <w:basedOn w:val="DefaultParagraphFont"/>
    <w:link w:val="FootnoteText"/>
    <w:uiPriority w:val="99"/>
    <w:semiHidden/>
    <w:rsid w:val="00E641E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641EA"/>
    <w:rPr>
      <w:vertAlign w:val="superscript"/>
    </w:rPr>
  </w:style>
  <w:style w:type="paragraph" w:customStyle="1" w:styleId="Default">
    <w:name w:val="Default"/>
    <w:rsid w:val="00E641EA"/>
    <w:pPr>
      <w:widowControl/>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57264-E803-408A-BFAE-D335151C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Redding</dc:creator>
  <cp:lastModifiedBy>Laura Wooster</cp:lastModifiedBy>
  <cp:revision>4</cp:revision>
  <dcterms:created xsi:type="dcterms:W3CDTF">2021-06-09T17:52:00Z</dcterms:created>
  <dcterms:modified xsi:type="dcterms:W3CDTF">2021-06-09T17:55:00Z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2018-02-26T00:00:00Z</vt:filetime>
  </property>
  <property fmtid="{D5CDD505-2E9C-101B-9397-08002B2CF9AE}" pid="3" name="Creator">
    <vt:lpwstr>Microsoft® Word 2016</vt:lpwstr>
  </property>
  <property fmtid="{D5CDD505-2E9C-101B-9397-08002B2CF9AE}" pid="4" name="LastSaved">
    <vt:filetime>2021-06-09T00:00:00Z</vt:filetime>
  </property>
</Properties>
</file>