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CC9" w:rsidRDefault="00B4714E" w:rsidP="003A6CC9">
      <w:r>
        <w:rPr>
          <w:noProof/>
        </w:rPr>
        <w:drawing>
          <wp:inline distT="0" distB="0" distL="0" distR="0">
            <wp:extent cx="5943600" cy="4577080"/>
            <wp:effectExtent l="0" t="0" r="0" b="1397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0C89EBD-4F14-49DB-9248-4E192E5CB1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A6CC9" w:rsidRPr="000C0FE7" w:rsidRDefault="003A6CC9" w:rsidP="003A6CC9">
      <w:pPr>
        <w:rPr>
          <w:sz w:val="16"/>
          <w:szCs w:val="16"/>
        </w:rPr>
      </w:pPr>
      <w:r w:rsidRPr="000C0FE7">
        <w:rPr>
          <w:sz w:val="16"/>
          <w:szCs w:val="16"/>
        </w:rPr>
        <w:t xml:space="preserve">Sources:  </w:t>
      </w:r>
      <w:r w:rsidR="002B349C">
        <w:rPr>
          <w:sz w:val="16"/>
          <w:szCs w:val="16"/>
        </w:rPr>
        <w:t xml:space="preserve">Federal Register, </w:t>
      </w:r>
      <w:r w:rsidRPr="000C0FE7">
        <w:rPr>
          <w:sz w:val="16"/>
          <w:szCs w:val="16"/>
        </w:rPr>
        <w:t>Medicare Trustees' Reports and U.S. Bureau of Labor Statistics</w:t>
      </w:r>
    </w:p>
    <w:p w:rsidR="003A6CC9" w:rsidRDefault="002C0F6C" w:rsidP="003A6CC9">
      <w:pPr>
        <w:spacing w:after="0" w:line="240" w:lineRule="auto"/>
        <w:rPr>
          <w:rFonts w:ascii="Times New Roman" w:hAnsi="Times New Roman" w:cs="Times New Roman"/>
        </w:rPr>
      </w:pPr>
      <w:r w:rsidRPr="005670AF">
        <w:rPr>
          <w:rFonts w:ascii="Times New Roman" w:hAnsi="Times New Roman" w:cs="Times New Roman"/>
        </w:rPr>
        <w:t xml:space="preserve">According to data from the Medicare Trustees, Medicare physician pay has barely </w:t>
      </w:r>
      <w:r>
        <w:rPr>
          <w:rFonts w:ascii="Times New Roman" w:hAnsi="Times New Roman" w:cs="Times New Roman"/>
        </w:rPr>
        <w:t>chang</w:t>
      </w:r>
      <w:r w:rsidRPr="005670AF">
        <w:rPr>
          <w:rFonts w:ascii="Times New Roman" w:hAnsi="Times New Roman" w:cs="Times New Roman"/>
        </w:rPr>
        <w:t xml:space="preserve">ed over the last decade and a half, increasing just 6 percent from 2001 to </w:t>
      </w:r>
      <w:r w:rsidR="00E7607D">
        <w:rPr>
          <w:rFonts w:ascii="Times New Roman" w:hAnsi="Times New Roman" w:cs="Times New Roman"/>
        </w:rPr>
        <w:t>2018</w:t>
      </w:r>
      <w:r w:rsidRPr="005670AF">
        <w:rPr>
          <w:rFonts w:ascii="Times New Roman" w:hAnsi="Times New Roman" w:cs="Times New Roman"/>
        </w:rPr>
        <w:t>, or just 0.4 percent per year on average</w:t>
      </w:r>
      <w:r w:rsidR="003A6CC9" w:rsidRPr="005670AF">
        <w:rPr>
          <w:rFonts w:ascii="Times New Roman" w:hAnsi="Times New Roman" w:cs="Times New Roman"/>
        </w:rPr>
        <w:t>.  In comparison:</w:t>
      </w:r>
    </w:p>
    <w:p w:rsidR="003A6CC9" w:rsidRPr="005670AF" w:rsidRDefault="003A6CC9" w:rsidP="003A6CC9">
      <w:pPr>
        <w:spacing w:after="0" w:line="240" w:lineRule="auto"/>
        <w:rPr>
          <w:rFonts w:ascii="Times New Roman" w:hAnsi="Times New Roman" w:cs="Times New Roman"/>
        </w:rPr>
      </w:pPr>
    </w:p>
    <w:p w:rsidR="003A6CC9" w:rsidRPr="008E47AF" w:rsidRDefault="003A6CC9" w:rsidP="003A6CC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8E47AF">
        <w:rPr>
          <w:rFonts w:ascii="Times New Roman" w:hAnsi="Times New Roman" w:cs="Times New Roman"/>
        </w:rPr>
        <w:t xml:space="preserve">Medicare hospital pay </w:t>
      </w:r>
      <w:r w:rsidR="00415D62" w:rsidRPr="008E47AF">
        <w:rPr>
          <w:rFonts w:ascii="Times New Roman" w:hAnsi="Times New Roman" w:cs="Times New Roman"/>
        </w:rPr>
        <w:t xml:space="preserve">has increased roughly 50 percent between 2001 and </w:t>
      </w:r>
      <w:r w:rsidR="00E7607D">
        <w:rPr>
          <w:rFonts w:ascii="Times New Roman" w:hAnsi="Times New Roman" w:cs="Times New Roman"/>
        </w:rPr>
        <w:t>2018</w:t>
      </w:r>
      <w:r w:rsidR="00415D62" w:rsidRPr="008E47AF">
        <w:rPr>
          <w:rFonts w:ascii="Times New Roman" w:hAnsi="Times New Roman" w:cs="Times New Roman"/>
        </w:rPr>
        <w:t>, with average annual increas</w:t>
      </w:r>
      <w:r w:rsidRPr="008E47AF">
        <w:rPr>
          <w:rFonts w:ascii="Times New Roman" w:hAnsi="Times New Roman" w:cs="Times New Roman"/>
        </w:rPr>
        <w:t xml:space="preserve">es </w:t>
      </w:r>
      <w:r w:rsidR="00415D62" w:rsidRPr="008E47AF">
        <w:rPr>
          <w:rFonts w:ascii="Times New Roman" w:hAnsi="Times New Roman" w:cs="Times New Roman"/>
        </w:rPr>
        <w:t>of</w:t>
      </w:r>
      <w:r w:rsidR="00CA0099">
        <w:rPr>
          <w:rFonts w:ascii="Times New Roman" w:hAnsi="Times New Roman" w:cs="Times New Roman"/>
        </w:rPr>
        <w:t xml:space="preserve"> 2.5</w:t>
      </w:r>
      <w:r w:rsidRPr="008E47AF">
        <w:rPr>
          <w:rFonts w:ascii="Times New Roman" w:hAnsi="Times New Roman" w:cs="Times New Roman"/>
        </w:rPr>
        <w:t xml:space="preserve"> percent per year</w:t>
      </w:r>
      <w:r w:rsidR="00415D62" w:rsidRPr="008E47AF">
        <w:rPr>
          <w:rFonts w:ascii="Times New Roman" w:hAnsi="Times New Roman" w:cs="Times New Roman"/>
        </w:rPr>
        <w:t xml:space="preserve"> for inpatient services</w:t>
      </w:r>
      <w:r w:rsidRPr="008E47AF">
        <w:rPr>
          <w:rFonts w:ascii="Times New Roman" w:hAnsi="Times New Roman" w:cs="Times New Roman"/>
        </w:rPr>
        <w:t xml:space="preserve">, </w:t>
      </w:r>
      <w:r w:rsidR="00415D62" w:rsidRPr="008E47AF">
        <w:rPr>
          <w:rFonts w:ascii="Times New Roman" w:hAnsi="Times New Roman" w:cs="Times New Roman"/>
        </w:rPr>
        <w:t>and 2.</w:t>
      </w:r>
      <w:r w:rsidR="00CA0099">
        <w:rPr>
          <w:rFonts w:ascii="Times New Roman" w:hAnsi="Times New Roman" w:cs="Times New Roman"/>
        </w:rPr>
        <w:t>4</w:t>
      </w:r>
      <w:r w:rsidR="00415D62" w:rsidRPr="008E47AF">
        <w:rPr>
          <w:rFonts w:ascii="Times New Roman" w:hAnsi="Times New Roman" w:cs="Times New Roman"/>
        </w:rPr>
        <w:t xml:space="preserve"> percent per year for outpatient services</w:t>
      </w:r>
      <w:r w:rsidRPr="008E47AF">
        <w:rPr>
          <w:rFonts w:ascii="Times New Roman" w:hAnsi="Times New Roman" w:cs="Times New Roman"/>
        </w:rPr>
        <w:t>.</w:t>
      </w:r>
    </w:p>
    <w:p w:rsidR="00F156FD" w:rsidRPr="005670AF" w:rsidRDefault="008E47AF" w:rsidP="003A6CC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8E47AF">
        <w:rPr>
          <w:rFonts w:ascii="Times New Roman" w:hAnsi="Times New Roman" w:cs="Times New Roman"/>
        </w:rPr>
        <w:t xml:space="preserve">Medicare </w:t>
      </w:r>
      <w:r w:rsidR="007A0743">
        <w:rPr>
          <w:rFonts w:ascii="Times New Roman" w:hAnsi="Times New Roman" w:cs="Times New Roman"/>
        </w:rPr>
        <w:t>skilled nursing facility</w:t>
      </w:r>
      <w:bookmarkStart w:id="0" w:name="_GoBack"/>
      <w:bookmarkEnd w:id="0"/>
      <w:r w:rsidRPr="008E47AF">
        <w:rPr>
          <w:rFonts w:ascii="Times New Roman" w:hAnsi="Times New Roman" w:cs="Times New Roman"/>
        </w:rPr>
        <w:t xml:space="preserve"> pay has increased 5</w:t>
      </w:r>
      <w:r w:rsidR="00CA0099">
        <w:rPr>
          <w:rFonts w:ascii="Times New Roman" w:hAnsi="Times New Roman" w:cs="Times New Roman"/>
        </w:rPr>
        <w:t>2</w:t>
      </w:r>
      <w:r w:rsidRPr="008E47AF">
        <w:rPr>
          <w:rFonts w:ascii="Times New Roman" w:hAnsi="Times New Roman" w:cs="Times New Roman"/>
        </w:rPr>
        <w:t xml:space="preserve"> percent between 2001 and </w:t>
      </w:r>
      <w:r w:rsidR="00E7607D">
        <w:rPr>
          <w:rFonts w:ascii="Times New Roman" w:hAnsi="Times New Roman" w:cs="Times New Roman"/>
        </w:rPr>
        <w:t>2018</w:t>
      </w:r>
      <w:r w:rsidRPr="008E47AF">
        <w:rPr>
          <w:rFonts w:ascii="Times New Roman" w:hAnsi="Times New Roman" w:cs="Times New Roman"/>
        </w:rPr>
        <w:t xml:space="preserve">, </w:t>
      </w:r>
      <w:r w:rsidR="00BD491F">
        <w:rPr>
          <w:rFonts w:ascii="Times New Roman" w:hAnsi="Times New Roman" w:cs="Times New Roman"/>
        </w:rPr>
        <w:t>or 2.</w:t>
      </w:r>
      <w:r w:rsidR="00CA0099">
        <w:rPr>
          <w:rFonts w:ascii="Times New Roman" w:hAnsi="Times New Roman" w:cs="Times New Roman"/>
        </w:rPr>
        <w:t>5</w:t>
      </w:r>
      <w:r w:rsidR="00BD491F">
        <w:rPr>
          <w:rFonts w:ascii="Times New Roman" w:hAnsi="Times New Roman" w:cs="Times New Roman"/>
        </w:rPr>
        <w:t xml:space="preserve"> percent per year.</w:t>
      </w:r>
    </w:p>
    <w:p w:rsidR="00F156FD" w:rsidRPr="005670AF" w:rsidRDefault="00F156FD" w:rsidP="00F156F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5670AF">
        <w:rPr>
          <w:rFonts w:ascii="Times New Roman" w:hAnsi="Times New Roman" w:cs="Times New Roman"/>
        </w:rPr>
        <w:t>The cost of running a medical practice has increased 3</w:t>
      </w:r>
      <w:r w:rsidR="00CA0099">
        <w:rPr>
          <w:rFonts w:ascii="Times New Roman" w:hAnsi="Times New Roman" w:cs="Times New Roman"/>
        </w:rPr>
        <w:t>2</w:t>
      </w:r>
      <w:r w:rsidRPr="005670AF">
        <w:rPr>
          <w:rFonts w:ascii="Times New Roman" w:hAnsi="Times New Roman" w:cs="Times New Roman"/>
        </w:rPr>
        <w:t xml:space="preserve"> percent between 2001 and </w:t>
      </w:r>
      <w:r w:rsidR="00E7607D">
        <w:rPr>
          <w:rFonts w:ascii="Times New Roman" w:hAnsi="Times New Roman" w:cs="Times New Roman"/>
        </w:rPr>
        <w:t>2018</w:t>
      </w:r>
      <w:r w:rsidRPr="005670AF">
        <w:rPr>
          <w:rFonts w:ascii="Times New Roman" w:hAnsi="Times New Roman" w:cs="Times New Roman"/>
        </w:rPr>
        <w:t>, or 1.7 percent per year.  Inflation in the cost of running a medical practice, including increases in physician office rent, employee wages, and professional liability insurance premiums, is measured by the Medicare Economic Index or MEI.</w:t>
      </w:r>
    </w:p>
    <w:p w:rsidR="00F156FD" w:rsidRPr="005670AF" w:rsidRDefault="00F156FD" w:rsidP="00F156F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5670AF">
        <w:rPr>
          <w:rFonts w:ascii="Times New Roman" w:hAnsi="Times New Roman" w:cs="Times New Roman"/>
        </w:rPr>
        <w:t xml:space="preserve">conomy-wide inflation, as measured the Consumer Price Index, has increased </w:t>
      </w:r>
      <w:r w:rsidR="00CA0099">
        <w:rPr>
          <w:rFonts w:ascii="Times New Roman" w:hAnsi="Times New Roman" w:cs="Times New Roman"/>
        </w:rPr>
        <w:t>42</w:t>
      </w:r>
      <w:r w:rsidRPr="005670AF">
        <w:rPr>
          <w:rFonts w:ascii="Times New Roman" w:hAnsi="Times New Roman" w:cs="Times New Roman"/>
        </w:rPr>
        <w:t xml:space="preserve"> percent over this </w:t>
      </w:r>
      <w:proofErr w:type="gramStart"/>
      <w:r w:rsidRPr="005670AF">
        <w:rPr>
          <w:rFonts w:ascii="Times New Roman" w:hAnsi="Times New Roman" w:cs="Times New Roman"/>
        </w:rPr>
        <w:t>time period</w:t>
      </w:r>
      <w:proofErr w:type="gramEnd"/>
      <w:r w:rsidRPr="005670AF">
        <w:rPr>
          <w:rFonts w:ascii="Times New Roman" w:hAnsi="Times New Roman" w:cs="Times New Roman"/>
        </w:rPr>
        <w:t xml:space="preserve"> (or 2.1 percent per year, on average).</w:t>
      </w:r>
      <w:r>
        <w:rPr>
          <w:rFonts w:ascii="Times New Roman" w:hAnsi="Times New Roman" w:cs="Times New Roman"/>
        </w:rPr>
        <w:br/>
      </w:r>
    </w:p>
    <w:p w:rsidR="003A6CC9" w:rsidRPr="00B467F0" w:rsidRDefault="00F156FD">
      <w:pPr>
        <w:spacing w:after="0" w:line="240" w:lineRule="auto"/>
        <w:rPr>
          <w:rFonts w:ascii="Times New Roman" w:hAnsi="Times New Roman" w:cs="Times New Roman"/>
        </w:rPr>
      </w:pPr>
      <w:r w:rsidRPr="005670AF">
        <w:rPr>
          <w:rFonts w:ascii="Times New Roman" w:hAnsi="Times New Roman" w:cs="Times New Roman"/>
        </w:rPr>
        <w:t xml:space="preserve">As a result, Medicare physician </w:t>
      </w:r>
      <w:r>
        <w:rPr>
          <w:rFonts w:ascii="Times New Roman" w:hAnsi="Times New Roman" w:cs="Times New Roman"/>
        </w:rPr>
        <w:t>pay</w:t>
      </w:r>
      <w:r w:rsidRPr="005670AF">
        <w:rPr>
          <w:rFonts w:ascii="Times New Roman" w:hAnsi="Times New Roman" w:cs="Times New Roman"/>
        </w:rPr>
        <w:t xml:space="preserve"> doesn’t go nearly as far as it used to.  Adjusted for inflation in practice costs, Medicare physician pay has declined 19 percent from 2001 to </w:t>
      </w:r>
      <w:r w:rsidR="00E7607D">
        <w:rPr>
          <w:rFonts w:ascii="Times New Roman" w:hAnsi="Times New Roman" w:cs="Times New Roman"/>
        </w:rPr>
        <w:t>2018</w:t>
      </w:r>
      <w:r w:rsidRPr="005670AF">
        <w:rPr>
          <w:rFonts w:ascii="Times New Roman" w:hAnsi="Times New Roman" w:cs="Times New Roman"/>
        </w:rPr>
        <w:t>, or by 1.3 percent per year on average.</w:t>
      </w:r>
    </w:p>
    <w:sectPr w:rsidR="003A6CC9" w:rsidRPr="00B467F0" w:rsidSect="00C9483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CAB" w:rsidRDefault="00516CAB" w:rsidP="00C94832">
      <w:pPr>
        <w:spacing w:after="0" w:line="240" w:lineRule="auto"/>
      </w:pPr>
      <w:r>
        <w:separator/>
      </w:r>
    </w:p>
  </w:endnote>
  <w:endnote w:type="continuationSeparator" w:id="0">
    <w:p w:rsidR="00516CAB" w:rsidRDefault="00516CAB" w:rsidP="00C9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B76" w:rsidRDefault="00AB0B76" w:rsidP="00AB0B76">
    <w:pPr>
      <w:pStyle w:val="Footer"/>
    </w:pPr>
    <w:r>
      <w:t>American Medical Association, Economic</w:t>
    </w:r>
    <w:r w:rsidR="00CA0099">
      <w:t xml:space="preserve"> and Health Policy Research, November</w:t>
    </w:r>
    <w:r>
      <w:t xml:space="preserve"> 2018</w:t>
    </w:r>
  </w:p>
  <w:p w:rsidR="00AB0B76" w:rsidRDefault="00AB0B76">
    <w:pPr>
      <w:pStyle w:val="Footer"/>
    </w:pPr>
  </w:p>
  <w:p w:rsidR="00AB0B76" w:rsidRDefault="00AB0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CAB" w:rsidRDefault="00516CAB" w:rsidP="00C94832">
      <w:pPr>
        <w:spacing w:after="0" w:line="240" w:lineRule="auto"/>
      </w:pPr>
      <w:r>
        <w:separator/>
      </w:r>
    </w:p>
  </w:footnote>
  <w:footnote w:type="continuationSeparator" w:id="0">
    <w:p w:rsidR="00516CAB" w:rsidRDefault="00516CAB" w:rsidP="00C94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A682F"/>
    <w:multiLevelType w:val="hybridMultilevel"/>
    <w:tmpl w:val="440E4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E13F9"/>
    <w:multiLevelType w:val="hybridMultilevel"/>
    <w:tmpl w:val="D890B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5207C2"/>
    <w:multiLevelType w:val="hybridMultilevel"/>
    <w:tmpl w:val="B93CE8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004632"/>
    <w:multiLevelType w:val="hybridMultilevel"/>
    <w:tmpl w:val="E632CD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1F5F42"/>
    <w:multiLevelType w:val="hybridMultilevel"/>
    <w:tmpl w:val="61CA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430E4"/>
    <w:multiLevelType w:val="hybridMultilevel"/>
    <w:tmpl w:val="8E82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5064E"/>
    <w:multiLevelType w:val="hybridMultilevel"/>
    <w:tmpl w:val="D5A23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B5FDE"/>
    <w:multiLevelType w:val="hybridMultilevel"/>
    <w:tmpl w:val="5EF42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7D3343"/>
    <w:multiLevelType w:val="hybridMultilevel"/>
    <w:tmpl w:val="7C9A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C21C0"/>
    <w:multiLevelType w:val="hybridMultilevel"/>
    <w:tmpl w:val="EB7A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CC9"/>
    <w:rsid w:val="00025EAD"/>
    <w:rsid w:val="000E040E"/>
    <w:rsid w:val="002054AE"/>
    <w:rsid w:val="00222BEA"/>
    <w:rsid w:val="0027482F"/>
    <w:rsid w:val="00294F25"/>
    <w:rsid w:val="002B349C"/>
    <w:rsid w:val="002C0F6C"/>
    <w:rsid w:val="003A6CC9"/>
    <w:rsid w:val="003C059A"/>
    <w:rsid w:val="00415D62"/>
    <w:rsid w:val="0045356C"/>
    <w:rsid w:val="004C17C7"/>
    <w:rsid w:val="004C6B86"/>
    <w:rsid w:val="00516CAB"/>
    <w:rsid w:val="006D2F61"/>
    <w:rsid w:val="00716A04"/>
    <w:rsid w:val="00716E66"/>
    <w:rsid w:val="007A0743"/>
    <w:rsid w:val="008E47AF"/>
    <w:rsid w:val="00900D12"/>
    <w:rsid w:val="00965682"/>
    <w:rsid w:val="00972115"/>
    <w:rsid w:val="009D3697"/>
    <w:rsid w:val="00A616BF"/>
    <w:rsid w:val="00AB0B76"/>
    <w:rsid w:val="00B467F0"/>
    <w:rsid w:val="00B4714E"/>
    <w:rsid w:val="00BD491F"/>
    <w:rsid w:val="00BE47EC"/>
    <w:rsid w:val="00C049FB"/>
    <w:rsid w:val="00C56A71"/>
    <w:rsid w:val="00C94832"/>
    <w:rsid w:val="00CA0099"/>
    <w:rsid w:val="00E508E5"/>
    <w:rsid w:val="00E7607D"/>
    <w:rsid w:val="00F04730"/>
    <w:rsid w:val="00F1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AE5AC"/>
  <w15:docId w15:val="{66515F75-37E0-47C9-828A-84FE005B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CC9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C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CC9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3A6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CC9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CC9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A6CC9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Default">
    <w:name w:val="Default"/>
    <w:basedOn w:val="Normal"/>
    <w:uiPriority w:val="99"/>
    <w:rsid w:val="003A6CC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483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48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HQD01\User\kgillis\MyFiles\Medicare\gap%20chart%202018%20aug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           Medicare Updates Compared to Inflation (2001-2018)   </a:t>
            </a:r>
          </a:p>
        </c:rich>
      </c:tx>
      <c:layout>
        <c:manualLayout>
          <c:xMode val="edge"/>
          <c:yMode val="edge"/>
          <c:x val="9.53733795740907E-2"/>
          <c:y val="3.583290847636854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109888508876711"/>
          <c:y val="0.16769882092911759"/>
          <c:w val="0.83150578197574332"/>
          <c:h val="0.64524849904305825"/>
        </c:manualLayout>
      </c:layout>
      <c:lineChart>
        <c:grouping val="standard"/>
        <c:varyColors val="0"/>
        <c:ser>
          <c:idx val="0"/>
          <c:order val="0"/>
          <c:tx>
            <c:strRef>
              <c:f>charts!$R$123</c:f>
              <c:strCache>
                <c:ptCount val="1"/>
                <c:pt idx="0">
                  <c:v>Inpatient hospital update</c:v>
                </c:pt>
              </c:strCache>
            </c:strRef>
          </c:tx>
          <c:marker>
            <c:symbol val="circle"/>
            <c:size val="7"/>
          </c:marker>
          <c:val>
            <c:numRef>
              <c:f>charts!$R$125:$R$142</c:f>
              <c:numCache>
                <c:formatCode>0%</c:formatCode>
                <c:ptCount val="18"/>
                <c:pt idx="0">
                  <c:v>0</c:v>
                </c:pt>
                <c:pt idx="1">
                  <c:v>2.4999999999999911E-2</c:v>
                </c:pt>
                <c:pt idx="2">
                  <c:v>5.7799999999999886E-2</c:v>
                </c:pt>
                <c:pt idx="3">
                  <c:v>9.2707399999999732E-2</c:v>
                </c:pt>
                <c:pt idx="4">
                  <c:v>0.12985945159999984</c:v>
                </c:pt>
                <c:pt idx="5">
                  <c:v>0.17053439185759997</c:v>
                </c:pt>
                <c:pt idx="6">
                  <c:v>0.21033256118075827</c:v>
                </c:pt>
                <c:pt idx="7">
                  <c:v>0.25148386826090435</c:v>
                </c:pt>
                <c:pt idx="8">
                  <c:v>0.29153135204525316</c:v>
                </c:pt>
                <c:pt idx="9">
                  <c:v>0.31736197908615837</c:v>
                </c:pt>
                <c:pt idx="10">
                  <c:v>0.34634394262605378</c:v>
                </c:pt>
                <c:pt idx="11">
                  <c:v>0.37192447753594898</c:v>
                </c:pt>
                <c:pt idx="12">
                  <c:v>0.39661911813159589</c:v>
                </c:pt>
                <c:pt idx="13">
                  <c:v>0.42175826225796476</c:v>
                </c:pt>
                <c:pt idx="14">
                  <c:v>0.45161518576538162</c:v>
                </c:pt>
                <c:pt idx="15">
                  <c:v>0.47629264392339299</c:v>
                </c:pt>
                <c:pt idx="16">
                  <c:v>0.4999133262261673</c:v>
                </c:pt>
                <c:pt idx="17">
                  <c:v>0.5224120261195595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F24-46C0-9E4D-9D2FDFFE8F6A}"/>
            </c:ext>
          </c:extLst>
        </c:ser>
        <c:ser>
          <c:idx val="4"/>
          <c:order val="1"/>
          <c:tx>
            <c:strRef>
              <c:f>charts!$S$123</c:f>
              <c:strCache>
                <c:ptCount val="1"/>
                <c:pt idx="0">
                  <c:v>Outpatient hospital update</c:v>
                </c:pt>
              </c:strCache>
            </c:strRef>
          </c:tx>
          <c:val>
            <c:numRef>
              <c:f>charts!$S$125:$S$142</c:f>
              <c:numCache>
                <c:formatCode>0%</c:formatCode>
                <c:ptCount val="18"/>
                <c:pt idx="0">
                  <c:v>0</c:v>
                </c:pt>
                <c:pt idx="1">
                  <c:v>2.2999999999999916E-2</c:v>
                </c:pt>
                <c:pt idx="2">
                  <c:v>5.8804999999999802E-2</c:v>
                </c:pt>
                <c:pt idx="3">
                  <c:v>9.4804369999999971E-2</c:v>
                </c:pt>
                <c:pt idx="4">
                  <c:v>0.13093291420999975</c:v>
                </c:pt>
                <c:pt idx="5">
                  <c:v>0.17277743203576962</c:v>
                </c:pt>
                <c:pt idx="6">
                  <c:v>0.21265186472498571</c:v>
                </c:pt>
                <c:pt idx="7">
                  <c:v>0.25266937626091035</c:v>
                </c:pt>
                <c:pt idx="8">
                  <c:v>0.29776547380630325</c:v>
                </c:pt>
                <c:pt idx="9">
                  <c:v>0.32501854875623537</c:v>
                </c:pt>
                <c:pt idx="10">
                  <c:v>0.35615648465200722</c:v>
                </c:pt>
                <c:pt idx="11">
                  <c:v>0.38192345786039528</c:v>
                </c:pt>
                <c:pt idx="12">
                  <c:v>0.40679808010188234</c:v>
                </c:pt>
                <c:pt idx="13">
                  <c:v>0.43071364746361418</c:v>
                </c:pt>
                <c:pt idx="14">
                  <c:v>0.46218934770781372</c:v>
                </c:pt>
                <c:pt idx="15">
                  <c:v>0.45780277966469041</c:v>
                </c:pt>
                <c:pt idx="16">
                  <c:v>0.48185652552915781</c:v>
                </c:pt>
                <c:pt idx="17">
                  <c:v>0.50186158862380159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F24-46C0-9E4D-9D2FDFFE8F6A}"/>
            </c:ext>
          </c:extLst>
        </c:ser>
        <c:ser>
          <c:idx val="5"/>
          <c:order val="2"/>
          <c:tx>
            <c:strRef>
              <c:f>charts!$T$123</c:f>
              <c:strCache>
                <c:ptCount val="1"/>
                <c:pt idx="0">
                  <c:v>SNF update</c:v>
                </c:pt>
              </c:strCache>
            </c:strRef>
          </c:tx>
          <c:val>
            <c:numRef>
              <c:f>charts!$T$125:$T$142</c:f>
              <c:numCache>
                <c:formatCode>0%</c:formatCode>
                <c:ptCount val="18"/>
                <c:pt idx="0">
                  <c:v>0</c:v>
                </c:pt>
                <c:pt idx="1">
                  <c:v>2.8000000000000032E-2</c:v>
                </c:pt>
                <c:pt idx="2">
                  <c:v>5.4728000000000124E-2</c:v>
                </c:pt>
                <c:pt idx="3">
                  <c:v>0.12223059200000019</c:v>
                </c:pt>
                <c:pt idx="4">
                  <c:v>0.15365304857600023</c:v>
                </c:pt>
                <c:pt idx="5">
                  <c:v>0.18941629308185629</c:v>
                </c:pt>
                <c:pt idx="6">
                  <c:v>0.22628819816739382</c:v>
                </c:pt>
                <c:pt idx="7">
                  <c:v>0.26675570870691734</c:v>
                </c:pt>
                <c:pt idx="8">
                  <c:v>0.30982540280295306</c:v>
                </c:pt>
                <c:pt idx="9">
                  <c:v>0.33864156166461795</c:v>
                </c:pt>
                <c:pt idx="10">
                  <c:v>0.36139846821291632</c:v>
                </c:pt>
                <c:pt idx="11">
                  <c:v>0.38454224217253552</c:v>
                </c:pt>
                <c:pt idx="12">
                  <c:v>0.40946400253164128</c:v>
                </c:pt>
                <c:pt idx="13">
                  <c:v>0.42778703456455247</c:v>
                </c:pt>
                <c:pt idx="14">
                  <c:v>0.45634277525584388</c:v>
                </c:pt>
                <c:pt idx="15">
                  <c:v>0.47381888855891385</c:v>
                </c:pt>
                <c:pt idx="16">
                  <c:v>0.50919054188432744</c:v>
                </c:pt>
                <c:pt idx="17">
                  <c:v>0.52428244730317108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F24-46C0-9E4D-9D2FDFFE8F6A}"/>
            </c:ext>
          </c:extLst>
        </c:ser>
        <c:ser>
          <c:idx val="3"/>
          <c:order val="3"/>
          <c:tx>
            <c:strRef>
              <c:f>charts!$Q$123</c:f>
              <c:strCache>
                <c:ptCount val="1"/>
                <c:pt idx="0">
                  <c:v>Consumer prices (CPI)</c:v>
                </c:pt>
              </c:strCache>
            </c:strRef>
          </c:tx>
          <c:spPr>
            <a:ln w="34925"/>
          </c:spPr>
          <c:marker>
            <c:symbol val="diamond"/>
            <c:size val="7"/>
          </c:marker>
          <c:cat>
            <c:numRef>
              <c:f>charts!$N$125:$N$141</c:f>
              <c:numCache>
                <c:formatCode>General</c:formatCode>
                <c:ptCount val="17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</c:numCache>
            </c:numRef>
          </c:cat>
          <c:val>
            <c:numRef>
              <c:f>charts!$Q$125:$Q$142</c:f>
              <c:numCache>
                <c:formatCode>0%</c:formatCode>
                <c:ptCount val="18"/>
                <c:pt idx="0">
                  <c:v>0</c:v>
                </c:pt>
                <c:pt idx="1">
                  <c:v>1.6000000000000021E-2</c:v>
                </c:pt>
                <c:pt idx="2">
                  <c:v>3.9367999999999848E-2</c:v>
                </c:pt>
                <c:pt idx="3">
                  <c:v>6.7430935999999858E-2</c:v>
                </c:pt>
                <c:pt idx="4">
                  <c:v>0.10372358782399976</c:v>
                </c:pt>
                <c:pt idx="5">
                  <c:v>0.13904274263436775</c:v>
                </c:pt>
                <c:pt idx="6">
                  <c:v>0.17093593942813007</c:v>
                </c:pt>
                <c:pt idx="7">
                  <c:v>0.21543150512639919</c:v>
                </c:pt>
                <c:pt idx="8">
                  <c:v>0.21056977910589364</c:v>
                </c:pt>
                <c:pt idx="9">
                  <c:v>0.22993889557158784</c:v>
                </c:pt>
                <c:pt idx="10">
                  <c:v>0.26929694022987871</c:v>
                </c:pt>
                <c:pt idx="11">
                  <c:v>0.29595217597470613</c:v>
                </c:pt>
                <c:pt idx="12">
                  <c:v>0.31539145861432649</c:v>
                </c:pt>
                <c:pt idx="13">
                  <c:v>0.33643772195215588</c:v>
                </c:pt>
                <c:pt idx="14">
                  <c:v>0.3377741596741079</c:v>
                </c:pt>
                <c:pt idx="15">
                  <c:v>0.35516522374987125</c:v>
                </c:pt>
                <c:pt idx="16">
                  <c:v>0.38362369344861835</c:v>
                </c:pt>
                <c:pt idx="17">
                  <c:v>0.41821428578483366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F24-46C0-9E4D-9D2FDFFE8F6A}"/>
            </c:ext>
          </c:extLst>
        </c:ser>
        <c:ser>
          <c:idx val="1"/>
          <c:order val="4"/>
          <c:tx>
            <c:strRef>
              <c:f>charts!$O$123</c:f>
              <c:strCache>
                <c:ptCount val="1"/>
                <c:pt idx="0">
                  <c:v>Practice cost inflation (MEI)</c:v>
                </c:pt>
              </c:strCache>
            </c:strRef>
          </c:tx>
          <c:spPr>
            <a:ln w="34925">
              <a:solidFill>
                <a:schemeClr val="accent3">
                  <a:lumMod val="75000"/>
                </a:schemeClr>
              </a:solidFill>
              <a:prstDash val="solid"/>
            </a:ln>
          </c:spPr>
          <c:marker>
            <c:symbol val="triangle"/>
            <c:size val="7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</c:spPr>
          </c:marker>
          <c:cat>
            <c:numRef>
              <c:f>charts!$N$125:$N$141</c:f>
              <c:numCache>
                <c:formatCode>General</c:formatCode>
                <c:ptCount val="17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</c:numCache>
            </c:numRef>
          </c:cat>
          <c:val>
            <c:numRef>
              <c:f>charts!$O$125:$O$142</c:f>
              <c:numCache>
                <c:formatCode>0%</c:formatCode>
                <c:ptCount val="18"/>
                <c:pt idx="0">
                  <c:v>0</c:v>
                </c:pt>
                <c:pt idx="1">
                  <c:v>2.600000000000004E-2</c:v>
                </c:pt>
                <c:pt idx="2">
                  <c:v>5.6780000000000073E-2</c:v>
                </c:pt>
                <c:pt idx="3">
                  <c:v>8.7426619999999802E-2</c:v>
                </c:pt>
                <c:pt idx="4">
                  <c:v>0.12113684521999973</c:v>
                </c:pt>
                <c:pt idx="5">
                  <c:v>0.15252867688615979</c:v>
                </c:pt>
                <c:pt idx="6">
                  <c:v>0.17673177910076898</c:v>
                </c:pt>
                <c:pt idx="7">
                  <c:v>0.19791295112458276</c:v>
                </c:pt>
                <c:pt idx="8">
                  <c:v>0.2170795583425762</c:v>
                </c:pt>
                <c:pt idx="9">
                  <c:v>0.23168451304268717</c:v>
                </c:pt>
                <c:pt idx="10">
                  <c:v>0.23661125109485792</c:v>
                </c:pt>
                <c:pt idx="11">
                  <c:v>0.24403091860142695</c:v>
                </c:pt>
                <c:pt idx="12">
                  <c:v>0.25398316595023845</c:v>
                </c:pt>
                <c:pt idx="13">
                  <c:v>0.26401503127784037</c:v>
                </c:pt>
                <c:pt idx="14">
                  <c:v>0.274127151528063</c:v>
                </c:pt>
                <c:pt idx="15">
                  <c:v>0.28814255019487167</c:v>
                </c:pt>
                <c:pt idx="16">
                  <c:v>0.30360026079721036</c:v>
                </c:pt>
                <c:pt idx="17">
                  <c:v>0.32185066444837107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F24-46C0-9E4D-9D2FDFFE8F6A}"/>
            </c:ext>
          </c:extLst>
        </c:ser>
        <c:ser>
          <c:idx val="2"/>
          <c:order val="5"/>
          <c:tx>
            <c:strRef>
              <c:f>charts!$P$123</c:f>
              <c:strCache>
                <c:ptCount val="1"/>
                <c:pt idx="0">
                  <c:v>Physician update</c:v>
                </c:pt>
              </c:strCache>
            </c:strRef>
          </c:tx>
          <c:spPr>
            <a:ln w="34925">
              <a:solidFill>
                <a:srgbClr val="FF0000"/>
              </a:solidFill>
            </a:ln>
          </c:spPr>
          <c:marker>
            <c:symbol val="square"/>
            <c:size val="7"/>
            <c:spPr>
              <a:solidFill>
                <a:srgbClr val="FF0000"/>
              </a:solidFill>
              <a:ln>
                <a:noFill/>
              </a:ln>
            </c:spPr>
          </c:marker>
          <c:cat>
            <c:numRef>
              <c:f>charts!$N$125:$N$141</c:f>
              <c:numCache>
                <c:formatCode>General</c:formatCode>
                <c:ptCount val="17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</c:numCache>
            </c:numRef>
          </c:cat>
          <c:val>
            <c:numRef>
              <c:f>charts!$P$125:$P$142</c:f>
              <c:numCache>
                <c:formatCode>0%</c:formatCode>
                <c:ptCount val="18"/>
                <c:pt idx="0">
                  <c:v>0</c:v>
                </c:pt>
                <c:pt idx="1">
                  <c:v>-4.8000000000000057E-2</c:v>
                </c:pt>
                <c:pt idx="2">
                  <c:v>-3.467200000000005E-2</c:v>
                </c:pt>
                <c:pt idx="3">
                  <c:v>-1.7296096000000042E-2</c:v>
                </c:pt>
                <c:pt idx="4">
                  <c:v>-2.5555374400001449E-3</c:v>
                </c:pt>
                <c:pt idx="5">
                  <c:v>-5.6064851488013578E-4</c:v>
                </c:pt>
                <c:pt idx="6">
                  <c:v>-5.6064851488013578E-4</c:v>
                </c:pt>
                <c:pt idx="7">
                  <c:v>4.43654824254547E-3</c:v>
                </c:pt>
                <c:pt idx="8">
                  <c:v>1.5485350273213303E-2</c:v>
                </c:pt>
                <c:pt idx="9">
                  <c:v>2.8686659826765E-2</c:v>
                </c:pt>
                <c:pt idx="10">
                  <c:v>3.7944839765205809E-2</c:v>
                </c:pt>
                <c:pt idx="11">
                  <c:v>3.7944839765205809E-2</c:v>
                </c:pt>
                <c:pt idx="12">
                  <c:v>3.7944839765205809E-2</c:v>
                </c:pt>
                <c:pt idx="13">
                  <c:v>4.3134563964031716E-2</c:v>
                </c:pt>
                <c:pt idx="14">
                  <c:v>4.5220833091959671E-2</c:v>
                </c:pt>
                <c:pt idx="15">
                  <c:v>5.3582599756695458E-2</c:v>
                </c:pt>
                <c:pt idx="16">
                  <c:v>5.8850512755478812E-2</c:v>
                </c:pt>
                <c:pt idx="17">
                  <c:v>6.414476531925617E-2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F24-46C0-9E4D-9D2FDFFE8F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0652416"/>
        <c:axId val="110678784"/>
      </c:lineChart>
      <c:catAx>
        <c:axId val="110652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0678784"/>
        <c:crossesAt val="-0.30000000000000016"/>
        <c:auto val="1"/>
        <c:lblAlgn val="ctr"/>
        <c:lblOffset val="100"/>
        <c:tickLblSkip val="2"/>
        <c:noMultiLvlLbl val="0"/>
      </c:catAx>
      <c:valAx>
        <c:axId val="110678784"/>
        <c:scaling>
          <c:orientation val="minMax"/>
          <c:max val="0.55000000000000004"/>
          <c:min val="-0.1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cumulative change since 2001</a:t>
                </a:r>
              </a:p>
            </c:rich>
          </c:tx>
          <c:layout>
            <c:manualLayout>
              <c:xMode val="edge"/>
              <c:yMode val="edge"/>
              <c:x val="2.3720320970958966E-2"/>
              <c:y val="0.32198178465101945"/>
            </c:manualLayout>
          </c:layout>
          <c:overlay val="0"/>
          <c:spPr>
            <a:noFill/>
            <a:ln w="25400">
              <a:noFill/>
            </a:ln>
          </c:spPr>
        </c:title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065241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351083518406353E-2"/>
          <c:y val="0.87602292291155071"/>
          <c:w val="0.91236422370280656"/>
          <c:h val="9.7291286147500142E-2"/>
        </c:manualLayout>
      </c:layout>
      <c:overlay val="0"/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7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0.14017</cdr:x>
      <cdr:y>0.94058</cdr:y>
    </cdr:from>
    <cdr:to>
      <cdr:x>0.94203</cdr:x>
      <cdr:y>0.98648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885825" y="4457700"/>
          <a:ext cx="4867275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0.72636</cdr:x>
      <cdr:y>0.25964</cdr:y>
    </cdr:from>
    <cdr:to>
      <cdr:x>0.85424</cdr:x>
      <cdr:y>0.29962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12080" y="1493520"/>
          <a:ext cx="914400" cy="1981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Medical Association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Cerle</dc:creator>
  <cp:lastModifiedBy>Candace  Hampton</cp:lastModifiedBy>
  <cp:revision>3</cp:revision>
  <dcterms:created xsi:type="dcterms:W3CDTF">2018-12-17T21:46:00Z</dcterms:created>
  <dcterms:modified xsi:type="dcterms:W3CDTF">2019-01-15T16:20:00Z</dcterms:modified>
</cp:coreProperties>
</file>